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7111"/>
      </w:tblGrid>
      <w:tr w:rsidR="002344AD" w:rsidRPr="002344AD" w:rsidTr="002344AD">
        <w:trPr>
          <w:tblCellSpacing w:w="15" w:type="dxa"/>
        </w:trPr>
        <w:tc>
          <w:tcPr>
            <w:tcW w:w="664" w:type="pct"/>
            <w:noWrap/>
            <w:tcMar>
              <w:top w:w="33" w:type="dxa"/>
              <w:left w:w="0" w:type="dxa"/>
              <w:bottom w:w="0" w:type="dxa"/>
              <w:right w:w="175" w:type="dxa"/>
            </w:tcMar>
            <w:hideMark/>
          </w:tcPr>
          <w:p w:rsidR="002344AD" w:rsidRPr="002344AD" w:rsidRDefault="002344AD" w:rsidP="002344AD">
            <w:pPr>
              <w:widowControl/>
              <w:spacing w:after="55"/>
              <w:rPr>
                <w:rFonts w:ascii="細明體" w:eastAsia="細明體" w:hAnsi="細明體" w:cs="新細明體"/>
                <w:b/>
                <w:bCs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b/>
                <w:bCs/>
                <w:kern w:val="0"/>
                <w:sz w:val="23"/>
                <w:szCs w:val="23"/>
              </w:rPr>
              <w:t>名　　稱</w:t>
            </w:r>
          </w:p>
        </w:tc>
        <w:tc>
          <w:tcPr>
            <w:tcW w:w="428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after="55"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科學技術基本法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664" w:type="pct"/>
            <w:noWrap/>
            <w:tcMar>
              <w:top w:w="33" w:type="dxa"/>
              <w:left w:w="0" w:type="dxa"/>
              <w:bottom w:w="0" w:type="dxa"/>
              <w:right w:w="175" w:type="dxa"/>
            </w:tcMar>
            <w:hideMark/>
          </w:tcPr>
          <w:p w:rsidR="002344AD" w:rsidRPr="002344AD" w:rsidRDefault="002344AD" w:rsidP="002344AD">
            <w:pPr>
              <w:widowControl/>
              <w:spacing w:after="55"/>
              <w:rPr>
                <w:rFonts w:ascii="細明體" w:eastAsia="細明體" w:hAnsi="細明體" w:cs="新細明體"/>
                <w:b/>
                <w:bCs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b/>
                <w:bCs/>
                <w:kern w:val="0"/>
                <w:sz w:val="23"/>
                <w:szCs w:val="23"/>
              </w:rPr>
              <w:t>修正日期</w:t>
            </w:r>
          </w:p>
        </w:tc>
        <w:tc>
          <w:tcPr>
            <w:tcW w:w="428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after="55"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 xml:space="preserve">民國 100 年 12 月 14 日 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664" w:type="pct"/>
            <w:noWrap/>
            <w:tcMar>
              <w:top w:w="33" w:type="dxa"/>
              <w:left w:w="0" w:type="dxa"/>
              <w:bottom w:w="0" w:type="dxa"/>
              <w:right w:w="175" w:type="dxa"/>
            </w:tcMar>
            <w:hideMark/>
          </w:tcPr>
          <w:p w:rsidR="002344AD" w:rsidRPr="002344AD" w:rsidRDefault="002344AD" w:rsidP="002344AD">
            <w:pPr>
              <w:widowControl/>
              <w:spacing w:after="55"/>
              <w:rPr>
                <w:rFonts w:ascii="細明體" w:eastAsia="細明體" w:hAnsi="細明體" w:cs="新細明體"/>
                <w:b/>
                <w:bCs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b/>
                <w:bCs/>
                <w:kern w:val="0"/>
                <w:sz w:val="23"/>
                <w:szCs w:val="23"/>
              </w:rPr>
              <w:t>法規類別</w:t>
            </w:r>
          </w:p>
        </w:tc>
        <w:tc>
          <w:tcPr>
            <w:tcW w:w="428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after="55"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 xml:space="preserve">行政 ＞ 科技部 ＞ 科學技術目 </w:t>
            </w:r>
          </w:p>
        </w:tc>
      </w:tr>
    </w:tbl>
    <w:p w:rsidR="002344AD" w:rsidRPr="002344AD" w:rsidRDefault="002344AD" w:rsidP="002344AD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tbl>
      <w:tblPr>
        <w:tblW w:w="8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02"/>
        <w:gridCol w:w="7577"/>
      </w:tblGrid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after="55"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after="55"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為確立政府推動科學技術發展之基本方針與原則，以提升科學技術水準，持續經濟發展，加強生態保護，增進生活福祉，增強國家競爭力，促進人類社會之永續發展，特制定本法。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本法適用於含人文社會科學之科學技術。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政府於推動科學技術時，應注意人文社會科學與其他科學技術之均衡發展。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3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政府應於國家財政能力之範圍內，持續充實科學技術發展計畫所需經費。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政府應致力推動全國研究發展經費逐年成長，使其占國內生產毛額至適當之比例。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4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政府應採取必要措施，以持續充實基礎研究。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5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政府應協助公立學校、公立研究機關（構）、公營事業、法人或團體，充實人才、設備及技術，以促進科學技術之研究發展。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政府得對科學技術研究成果優異之公立學校、公立研究機關（構）給予科學技術研究發展所需之設施、人才進用必要支援。其支援對象、範圍、條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件等相關規定由主管機關另以辦法定之。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為推廣政府出資之應用性科學技術研究發展成果，政府應監督或協助第一項執行研究發展之單位，將研究發展成果轉化為實際之生產或利用。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6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政府補助、委託、出資或公立研究機關（構）依法編列科學技術研究發展預算所進行之科學技術研究發展，應依評選或審查之方式決定對象，評選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或審查應附理由。其所獲得之智慧財產權及成果，得將全部或一部歸屬於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執行研究發展之單位所有或授權使用，不受國有財產法之限制。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前項智慧財產權及成果，歸屬於公立學校、公立機關（構）或公營事業者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，其保管、使用、收益及處分不受國有財產法第十一條、第十三條、第十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四條、第二十條、第二十五條、第二十八條、第二十九條、第三十三條、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第三十五條、第三十六條、第五十七條、第五十八條、第六十條及第六十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四條規定之限制。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前二項智慧財產權及成果之歸屬及運用，應依公平及效益原則，參酌資本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與勞務之比例及貢獻，科學技術研究發展成果之性質、運用潛力、社會公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益、國家安全及對市場之影響，就其目的、要件、期限、範圍、全部或一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部之比例、登記、管理、收益分配、迴避及其相關資訊之揭露、資助機關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介入授權第三人實施或收歸國有及相關程序等事項之辦法，由行政院統籌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lastRenderedPageBreak/>
              <w:t>規劃訂定；各主管機關並得訂定相關法規命令施行之。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公立學校、公立研究機關（構）、法人或團體接受第一項政府補助、委託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或公立研究機關（構）依法編列之科學技術研究發展預算辦理採購，除我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國締結之條約或協定另有規定者外，不適用政府採購法之規定。但應受補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助、委託或主管機關之監督；其監督管理辦法，由中央科技主管機關定之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第 7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為推動科學技術發展，政府應考量總體科學技術政策與個別科學技術計畫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對環境生態之影響。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政府推動科學技術發展計畫，必要時應提供適當經費，研究該科學技術之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政策或計畫對社會倫理之影響與法律因應等相關問題。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8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科學技術研究機構與人員，於推動或進行科學技術研究時，應善盡對環境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生態、生命尊嚴及人性倫理之維護義務。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9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政府應每二年提出科學技術發展之遠景、策略及現況說明。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10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政府應考量國家發展方向、社會需求情形及區域均衡發展，每四年訂定國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家科學技術發展計畫，作為擬訂科學技術政策與推動科學技術研究發展之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依據。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國家科學技術發展計畫之訂定，應參酌中央研究院、科學技術研究部門、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產業部門及相關社會團體之意見，並經全國科學技術會議討論後，由行政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院核定。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前項之全國科學技術會議，每四年由行政院召開之。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11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國家科學技術發展計畫，應包含下列事項︰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一、國家科學技術發展之現況與檢討。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二、國家科學技術發展之總目標、策略及資源規劃。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三、政府各部門及各科學技術領域之發展目標、策略及資源規劃。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四、其他科學技術發展之重要事項。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12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為增進科學技術研究發展能力、鼓勵傑出科學技術研究發展人才、充實科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學技術研究設施及資助研究發展成果之運用，並利掌握時效及發揮最大效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用，行政院應設置國家科學技術發展基金，編製附屬單位預算。        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國家科學技術發展基金之運用，應配合國家科學技術之發展與研究人員之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需求，經公開程序審查，並應建立績效評估制度。                    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國家科學技術發展基金之收支、保管及運用辦法，由行政院定之。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13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中央政府補助、委託、出資或公立研究機關（構）依法編列科學技術研究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發展預算所進行之科學技術研究發展，其智慧財產權及成果所得歸屬政府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部分，應循附屬單位預算程序撥入國家科學技術發展基金保管運用。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中央研究院得報請其主管機關核准設置科學研究基金。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第一項智慧財產權及成果所得，除應撥入國家科學技術發展基金保管運用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lastRenderedPageBreak/>
              <w:t>部分外，歸屬於中央研究院部分，得循附屬單位預算方式撥入前項之科學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研究基金。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第 14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為促進科學技術之研究、發展及應用，政府應就下列事項，採取必要措施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，以改善科學技術人員之工作條件，並健全科學技術研究之環境：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一、培訓科學技術人員。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二、促進科學技術人員之進用及交流。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三、培養、輔導及獎勵女性科學技術人員。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四、充實科學技術研究機構。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五、鼓勵科學技術人員創業。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六、獎勵、支助及推廣科學技術之研究。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15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政府對於其所進用且從事稀少性、危險性、重點研究項目或於特殊環境工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作之科學技術人員，應優予待遇、提供保險或採取其他必要措施。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對於從事科學技術研究著有功績之科學技術人員，應給予必要獎勵，以表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彰其貢獻。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16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為確保科學技術研究之真實性並充分發揮其創造性，除法令另有限制外，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政府應保障科學技術人員之研究自由。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17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為健全科學技術人員之進用管道，得訂定公開、公平之資格審查方式，由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政府機關或政府研究機構，依其需要進用，並應制定法律適度放寬公務人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員任用之限制。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為充分運用科學技術人力，對於公務員、大專校院教師與研究機構及企業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之科學技術人員，得採取必要措施，以加強人才交流。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為延攬境外優秀科學技術人才，應採取必要措施，於相當期間內保障其生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活與工作條件；其子女就學之要件、權益保障及其他相關事項之辦法，由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教育部定之。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公立專科以上學校或公立研究機關（構）從事研究人員，因科學研究業務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而需技術作價投資或兼職者，不受教育人員任用條例第三十四條、公務員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服務法第十三條第一項股本總額百分之十、第二項及第十四條兼任他項業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務之限制。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前項公立專科以上學校或公立研究機關（構）從事研究人員之認定、得兼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任職務與數額、技術作價投資比例之限制及其他應遵行事項之辦法，由行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政院會同考試院定之。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18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為促進民間科學技術研究發展，政府得提供租稅、金融等財政優惠措施。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19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政府對符合國家科學技術發展計畫目標之民間研究發展計畫，得給予必要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之支助。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20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為推動科學技術研究發展，政府應擬訂科學技術資訊流通政策，採取整體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性計畫措施，建立國內外科學技術研究發展之相關資訊網路及資訊體系，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lastRenderedPageBreak/>
              <w:t>並應培育資訊相關處理人才，以利科學技術資訊之充實及有效利用。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第 21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為提升科學技術水準，政府應致力推動國際科學技術合作，促進人才、技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術、設施及資訊之國際交流與利用，並參與國際共同開發與研究。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22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為加強國民對科學技術知識之關心與認識，政府應持續推展學校與社會之</w:t>
            </w:r>
          </w:p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科學技術教育，以提升國民科學技術之素養。</w:t>
            </w:r>
          </w:p>
        </w:tc>
      </w:tr>
      <w:tr w:rsidR="002344AD" w:rsidRPr="002344AD" w:rsidTr="002344AD">
        <w:trPr>
          <w:tblCellSpacing w:w="15" w:type="dxa"/>
        </w:trPr>
        <w:tc>
          <w:tcPr>
            <w:tcW w:w="566" w:type="pct"/>
            <w:noWrap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23 條</w:t>
            </w:r>
          </w:p>
        </w:tc>
        <w:tc>
          <w:tcPr>
            <w:tcW w:w="41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432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344AD" w:rsidRPr="002344AD" w:rsidRDefault="002344AD" w:rsidP="00234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2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2344A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本法自公布日施行。</w:t>
            </w:r>
          </w:p>
        </w:tc>
      </w:tr>
    </w:tbl>
    <w:p w:rsidR="00AE2910" w:rsidRDefault="00AE2910"/>
    <w:sectPr w:rsidR="00AE2910" w:rsidSect="00AE29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68" w:rsidRDefault="00DB0268" w:rsidP="00737A1E">
      <w:r>
        <w:separator/>
      </w:r>
    </w:p>
  </w:endnote>
  <w:endnote w:type="continuationSeparator" w:id="1">
    <w:p w:rsidR="00DB0268" w:rsidRDefault="00DB0268" w:rsidP="0073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68" w:rsidRDefault="00DB0268" w:rsidP="00737A1E">
      <w:r>
        <w:separator/>
      </w:r>
    </w:p>
  </w:footnote>
  <w:footnote w:type="continuationSeparator" w:id="1">
    <w:p w:rsidR="00DB0268" w:rsidRDefault="00DB0268" w:rsidP="00737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4AD"/>
    <w:rsid w:val="00223897"/>
    <w:rsid w:val="002344AD"/>
    <w:rsid w:val="00737A1E"/>
    <w:rsid w:val="007C2B78"/>
    <w:rsid w:val="00AE2910"/>
    <w:rsid w:val="00DB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344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62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344AD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34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44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3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37A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3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37A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8375">
      <w:bodyDiv w:val="1"/>
      <w:marLeft w:val="109"/>
      <w:marRight w:val="10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2015-01-20T06:37:00Z</dcterms:created>
  <dcterms:modified xsi:type="dcterms:W3CDTF">2015-04-15T06:13:00Z</dcterms:modified>
</cp:coreProperties>
</file>